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11" w:rsidRPr="001711C9" w:rsidRDefault="00923611" w:rsidP="000A52D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1711C9">
        <w:rPr>
          <w:rFonts w:ascii="Times New Roman" w:hAnsi="Times New Roman"/>
          <w:color w:val="030000"/>
          <w:sz w:val="28"/>
          <w:szCs w:val="28"/>
          <w:lang w:eastAsia="ru-RU"/>
        </w:rPr>
        <w:t>Приложение</w:t>
      </w:r>
    </w:p>
    <w:p w:rsidR="00923611" w:rsidRPr="001711C9" w:rsidRDefault="00923611" w:rsidP="000A52D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1711C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к постановлению администрации  </w:t>
      </w:r>
    </w:p>
    <w:p w:rsidR="00923611" w:rsidRPr="001711C9" w:rsidRDefault="00923611" w:rsidP="000A52D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1711C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МО «Вознесенское городское поселение» </w:t>
      </w:r>
      <w:r w:rsidRPr="001711C9">
        <w:rPr>
          <w:rFonts w:ascii="Times New Roman" w:hAnsi="Times New Roman"/>
          <w:color w:val="030000"/>
          <w:sz w:val="28"/>
          <w:szCs w:val="28"/>
          <w:lang w:eastAsia="ru-RU"/>
        </w:rPr>
        <w:br/>
        <w:t>от 31.08.2015 года № 294</w:t>
      </w:r>
    </w:p>
    <w:p w:rsidR="00923611" w:rsidRPr="001711C9" w:rsidRDefault="00923611" w:rsidP="000A52D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Pr="001711C9" w:rsidRDefault="00923611" w:rsidP="000A52D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Pr="001711C9" w:rsidRDefault="00923611" w:rsidP="000A52D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Pr="001711C9" w:rsidRDefault="00923611" w:rsidP="000A52D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1711C9">
        <w:rPr>
          <w:rFonts w:ascii="Times New Roman" w:hAnsi="Times New Roman"/>
          <w:bCs/>
          <w:color w:val="030000"/>
          <w:sz w:val="28"/>
          <w:szCs w:val="28"/>
          <w:lang w:eastAsia="ru-RU"/>
        </w:rPr>
        <w:t>ПАСПОРТ</w:t>
      </w:r>
    </w:p>
    <w:p w:rsidR="00923611" w:rsidRPr="001711C9" w:rsidRDefault="00923611" w:rsidP="000A52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30000"/>
          <w:sz w:val="28"/>
          <w:szCs w:val="28"/>
          <w:lang w:eastAsia="ru-RU"/>
        </w:rPr>
      </w:pPr>
      <w:r w:rsidRPr="001711C9">
        <w:rPr>
          <w:rFonts w:ascii="Times New Roman" w:hAnsi="Times New Roman"/>
          <w:bCs/>
          <w:color w:val="030000"/>
          <w:sz w:val="28"/>
          <w:szCs w:val="28"/>
          <w:lang w:eastAsia="ru-RU"/>
        </w:rPr>
        <w:t>муниципальной  программы</w:t>
      </w:r>
    </w:p>
    <w:p w:rsidR="00923611" w:rsidRPr="001711C9" w:rsidRDefault="00923611" w:rsidP="000A52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</w:pPr>
    </w:p>
    <w:p w:rsidR="00923611" w:rsidRPr="001711C9" w:rsidRDefault="00923611" w:rsidP="000A52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</w:pPr>
      <w:r w:rsidRPr="001711C9">
        <w:rPr>
          <w:rFonts w:ascii="Times New Roman" w:hAnsi="Times New Roman"/>
          <w:sz w:val="28"/>
          <w:szCs w:val="28"/>
          <w:lang w:eastAsia="ru-RU"/>
        </w:rPr>
        <w:t>«Развитие административного центра Вознесенского городского поселения на 2016-2020 годы»</w:t>
      </w:r>
    </w:p>
    <w:p w:rsidR="00923611" w:rsidRPr="001711C9" w:rsidRDefault="00923611" w:rsidP="000A52D3">
      <w:pPr>
        <w:shd w:val="clear" w:color="auto" w:fill="FFFFFF"/>
        <w:spacing w:after="0" w:line="240" w:lineRule="auto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1711C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                          </w:t>
      </w:r>
      <w:r w:rsidRPr="001711C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(далее Программа)</w:t>
      </w:r>
    </w:p>
    <w:p w:rsidR="00923611" w:rsidRPr="001711C9" w:rsidRDefault="00923611" w:rsidP="000A52D3">
      <w:pPr>
        <w:shd w:val="clear" w:color="auto" w:fill="FFFFFF"/>
        <w:spacing w:after="0" w:line="240" w:lineRule="auto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Pr="001711C9" w:rsidRDefault="00923611" w:rsidP="000A52D3">
      <w:pPr>
        <w:shd w:val="clear" w:color="auto" w:fill="FFFFFF"/>
        <w:spacing w:after="0" w:line="240" w:lineRule="auto"/>
        <w:rPr>
          <w:rFonts w:ascii="Times New Roman" w:hAnsi="Times New Roman"/>
          <w:color w:val="030000"/>
          <w:sz w:val="28"/>
          <w:szCs w:val="28"/>
          <w:lang w:eastAsia="ru-RU"/>
        </w:rPr>
      </w:pPr>
    </w:p>
    <w:tbl>
      <w:tblPr>
        <w:tblW w:w="0" w:type="auto"/>
        <w:jc w:val="righ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81"/>
        <w:gridCol w:w="6164"/>
      </w:tblGrid>
      <w:tr w:rsidR="00923611" w:rsidRPr="000C0E90" w:rsidTr="006B420D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</w:t>
            </w:r>
          </w:p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611" w:rsidRPr="00304A74" w:rsidRDefault="00923611" w:rsidP="00171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04A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304A7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04A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центра </w:t>
            </w:r>
          </w:p>
          <w:p w:rsidR="00923611" w:rsidRPr="00304A74" w:rsidRDefault="00923611" w:rsidP="00171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304A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Вознесенского городского поселения </w:t>
            </w:r>
          </w:p>
          <w:p w:rsidR="00923611" w:rsidRPr="00304A74" w:rsidRDefault="00923611" w:rsidP="00171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н</w:t>
            </w:r>
            <w:r w:rsidRPr="00304A7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4A74">
              <w:rPr>
                <w:rFonts w:ascii="Times New Roman" w:hAnsi="Times New Roman"/>
                <w:sz w:val="28"/>
                <w:szCs w:val="28"/>
                <w:lang w:eastAsia="ru-RU"/>
              </w:rPr>
              <w:t>2016-2020 годы»</w:t>
            </w:r>
          </w:p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3611" w:rsidRPr="000C0E90" w:rsidTr="006B420D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611" w:rsidRPr="001711C9" w:rsidRDefault="00923611" w:rsidP="00171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      </w:r>
          </w:p>
        </w:tc>
      </w:tr>
      <w:tr w:rsidR="00923611" w:rsidRPr="000C0E90" w:rsidTr="006B420D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923611" w:rsidRPr="000C0E90" w:rsidTr="006B420D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923611" w:rsidRPr="000C0E90" w:rsidTr="006B420D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611" w:rsidRDefault="00923611" w:rsidP="00171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«Вознесенское городское поселение Подпорожского муниципального района Ленинградской области»,</w:t>
            </w:r>
          </w:p>
          <w:p w:rsidR="00923611" w:rsidRDefault="00923611" w:rsidP="00171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общественные советы частей территории административного центра,</w:t>
            </w:r>
          </w:p>
          <w:p w:rsidR="00923611" w:rsidRPr="001711C9" w:rsidRDefault="00923611" w:rsidP="00171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граждане, юридические лица, индивидуальные предприниматели</w:t>
            </w:r>
          </w:p>
        </w:tc>
      </w:tr>
      <w:tr w:rsidR="00923611" w:rsidRPr="000C0E90" w:rsidTr="006B420D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611" w:rsidRPr="001711C9" w:rsidRDefault="00923611" w:rsidP="001711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Привлечение  жителей административного центра 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к активным формам непосредственного участия населения в осуществлении местного самоуправления.</w:t>
            </w:r>
          </w:p>
          <w:p w:rsidR="00923611" w:rsidRPr="001711C9" w:rsidRDefault="00923611" w:rsidP="00171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комфортных условий 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жизнеде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ятельности </w:t>
            </w:r>
          </w:p>
        </w:tc>
      </w:tr>
      <w:tr w:rsidR="00923611" w:rsidRPr="000C0E90" w:rsidTr="006B420D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комплексного обус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тройства административного центра</w:t>
            </w:r>
          </w:p>
        </w:tc>
      </w:tr>
      <w:tr w:rsidR="00923611" w:rsidRPr="000C0E90" w:rsidTr="006B420D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611" w:rsidRPr="001711C9" w:rsidRDefault="00923611" w:rsidP="001711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Уровень благоустройства гражданских кладбищ и воинских захоронений.</w:t>
            </w:r>
          </w:p>
          <w:p w:rsidR="00923611" w:rsidRPr="001711C9" w:rsidRDefault="00923611" w:rsidP="001711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Уровень очистки территории от старых деревьев и кустарника.</w:t>
            </w:r>
          </w:p>
          <w:p w:rsidR="00923611" w:rsidRPr="001711C9" w:rsidRDefault="00923611" w:rsidP="001711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Уровень благоустройства мест отдыха жителей.</w:t>
            </w:r>
          </w:p>
          <w:p w:rsidR="00923611" w:rsidRPr="006A6834" w:rsidRDefault="00923611" w:rsidP="001711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</w:pPr>
            <w:r w:rsidRPr="006A6834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Уровень обеспечения административного центра  контейнерными площадками.</w:t>
            </w:r>
          </w:p>
          <w:p w:rsidR="00923611" w:rsidRPr="006A6834" w:rsidRDefault="00923611" w:rsidP="001711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</w:pPr>
            <w:r w:rsidRPr="006A6834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Уровень обеспечения административного центра пожарными подъездами  и пожарными водоемами.</w:t>
            </w:r>
          </w:p>
          <w:p w:rsidR="00923611" w:rsidRPr="006A6834" w:rsidRDefault="00923611" w:rsidP="001711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 xml:space="preserve">      </w:t>
            </w:r>
          </w:p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3611" w:rsidRPr="000C0E90" w:rsidTr="006B420D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611" w:rsidRPr="001711C9" w:rsidRDefault="00923611" w:rsidP="00171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ализуется в 2016-2020 годах </w:t>
            </w:r>
          </w:p>
        </w:tc>
      </w:tr>
      <w:tr w:rsidR="00923611" w:rsidRPr="000C0E90" w:rsidTr="00A17778">
        <w:trPr>
          <w:trHeight w:val="5640"/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611" w:rsidRDefault="00923611" w:rsidP="006B42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ресурсного обеспечения реализац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ии Программы составляет </w:t>
            </w:r>
          </w:p>
          <w:p w:rsidR="00923611" w:rsidRDefault="00923611" w:rsidP="00171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13500,00 тыс. руб.  (средства областного, 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местного бюджета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 вклад граждан, юридических лиц, ИП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). В том числе по годам:</w:t>
            </w:r>
          </w:p>
          <w:p w:rsidR="00923611" w:rsidRDefault="00923611" w:rsidP="00171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3611" w:rsidRPr="001711C9" w:rsidRDefault="00923611" w:rsidP="00171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 год –  1 499,999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уб., </w:t>
            </w: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1 141, 552 тыс. 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бюджет,</w:t>
            </w: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57, 078  тыс. руб.  - местный бюджет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301,369 тыс. руб. – вклад граждан, юридических лиц, индивидуальных предпринимателей.</w:t>
            </w: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 год –  3000,0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уб.</w:t>
            </w: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руб., </w:t>
            </w: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2 608,8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бюджет,</w:t>
            </w: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130,4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уб.  - местный бюджет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260,8 тыс. руб. – вклад граждан, юридических лиц, индивидуальных предпринимателей.</w:t>
            </w: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 –  3000,0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уб.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руб., 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2 608,8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бюджет,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130,4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уб.  - местный бюджет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260,8 тыс. руб. – вклад граждан, юридических лиц, индивидуальных предпринимателей.</w:t>
            </w: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 год –  3000,0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уб.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руб., 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2 608,8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бюджет,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130,4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уб.  - местный бюджет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260,8 тыс. руб. – вклад граждан, юридических лиц, индивидуальных предпринимателей.</w:t>
            </w:r>
          </w:p>
          <w:p w:rsidR="00923611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 год –  3000,0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уб.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руб., 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2 608,8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бюджет,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130,4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уб.  - местный бюджет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23611" w:rsidRDefault="00923611" w:rsidP="00E70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260,8 тыс. руб. – вклад граждан, юридических лиц, индивидуальных предпринимателей.</w:t>
            </w:r>
          </w:p>
          <w:p w:rsidR="00923611" w:rsidRPr="001711C9" w:rsidRDefault="00923611" w:rsidP="00B00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23611" w:rsidRPr="000C0E90" w:rsidTr="006B420D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611" w:rsidRPr="001711C9" w:rsidRDefault="00923611" w:rsidP="006B4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</w:t>
            </w:r>
          </w:p>
          <w:p w:rsidR="00923611" w:rsidRPr="001711C9" w:rsidRDefault="00923611" w:rsidP="006B4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611" w:rsidRDefault="00923611" w:rsidP="00B00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концу 2020</w:t>
            </w:r>
            <w:r w:rsidRPr="001711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года:</w:t>
            </w:r>
          </w:p>
          <w:p w:rsidR="00923611" w:rsidRPr="001F7FD9" w:rsidRDefault="00923611" w:rsidP="007842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</w:pPr>
            <w:r w:rsidRPr="001F7FD9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1. Уровень благоустройства гражданских кладбищ в сельских населенных пунктах составит 80 % от потребности;</w:t>
            </w:r>
          </w:p>
          <w:p w:rsidR="00923611" w:rsidRPr="001F7FD9" w:rsidRDefault="00923611" w:rsidP="007842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2</w:t>
            </w:r>
            <w:r w:rsidRPr="001F7FD9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. Уро</w:t>
            </w:r>
            <w:r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вень очистки территории</w:t>
            </w:r>
            <w:r w:rsidRPr="001F7FD9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 xml:space="preserve"> населенных пунктов от старых деревьев и кустарников составит 100 % от  потребности;</w:t>
            </w:r>
          </w:p>
          <w:p w:rsidR="00923611" w:rsidRPr="001F7FD9" w:rsidRDefault="00923611" w:rsidP="007842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 xml:space="preserve">3. </w:t>
            </w:r>
            <w:r w:rsidRPr="006A6834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Уровень благоустройства мест отдыха жителей</w:t>
            </w:r>
            <w:r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 xml:space="preserve"> составит 80%.</w:t>
            </w:r>
          </w:p>
          <w:p w:rsidR="00923611" w:rsidRPr="001F7FD9" w:rsidRDefault="00923611" w:rsidP="007842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4</w:t>
            </w:r>
            <w:r w:rsidRPr="001F7FD9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. Уровень обеспечения  контейнерными площадками составит 80 % от общей потребности;</w:t>
            </w:r>
          </w:p>
          <w:p w:rsidR="00923611" w:rsidRPr="001F7FD9" w:rsidRDefault="00923611" w:rsidP="007842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5</w:t>
            </w:r>
            <w:r w:rsidRPr="001F7FD9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. Уровень обес</w:t>
            </w:r>
            <w:r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печения  пожарными водоемами и</w:t>
            </w:r>
            <w:r w:rsidRPr="001F7FD9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 xml:space="preserve">пожарными </w:t>
            </w:r>
            <w:r w:rsidRPr="001F7FD9">
              <w:rPr>
                <w:rFonts w:ascii="Times New Roman" w:hAnsi="Times New Roman"/>
                <w:color w:val="030000"/>
                <w:sz w:val="28"/>
                <w:szCs w:val="28"/>
                <w:lang w:eastAsia="ru-RU"/>
              </w:rPr>
              <w:t>подъездами  составит 80 % от общей потребности;</w:t>
            </w:r>
          </w:p>
          <w:p w:rsidR="00923611" w:rsidRDefault="00923611" w:rsidP="007842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30000"/>
                <w:sz w:val="28"/>
                <w:szCs w:val="28"/>
                <w:lang w:eastAsia="ru-RU"/>
              </w:rPr>
            </w:pPr>
          </w:p>
          <w:p w:rsidR="00923611" w:rsidRPr="001711C9" w:rsidRDefault="00923611" w:rsidP="00B00E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3611" w:rsidRPr="001711C9" w:rsidRDefault="00923611" w:rsidP="006B4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3611" w:rsidRPr="001711C9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</w:pPr>
    </w:p>
    <w:p w:rsidR="00923611" w:rsidRPr="001711C9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</w:pPr>
    </w:p>
    <w:p w:rsidR="00923611" w:rsidRPr="006A6834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6A6834"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>1. Общая характеристика, основные проблемы и прогноз развития сферы реализации Программы:</w:t>
      </w:r>
    </w:p>
    <w:p w:rsidR="00923611" w:rsidRPr="006A6834" w:rsidRDefault="00923611" w:rsidP="00C439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 xml:space="preserve">Вознесенское  городское поселение входит в состав Подпорожского муниципального района. Территория муниципального образования «Вознесенское  городское поселение Подпорожского муниципального </w:t>
      </w: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lastRenderedPageBreak/>
        <w:t>района Ленинградской области»» занимает 1722 гектара.</w:t>
      </w:r>
      <w:r w:rsidRPr="006A6834">
        <w:rPr>
          <w:rFonts w:ascii="Trebuchet MS" w:hAnsi="Trebuchet MS"/>
          <w:color w:val="030000"/>
          <w:sz w:val="28"/>
          <w:szCs w:val="28"/>
          <w:lang w:eastAsia="ru-RU"/>
        </w:rPr>
        <w:t xml:space="preserve"> </w:t>
      </w: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Численность постоянного населения на 1 января 2014 года – 3,012 тыс</w:t>
      </w:r>
      <w:proofErr w:type="gramStart"/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.ч</w:t>
      </w:r>
      <w:proofErr w:type="gramEnd"/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 xml:space="preserve">ел., из них 0,6 тыс.чел. проживает в сельских населенных пунктах. </w:t>
      </w:r>
      <w:r w:rsidRPr="006A6834">
        <w:rPr>
          <w:rFonts w:ascii="Times New Roman" w:hAnsi="Times New Roman"/>
          <w:sz w:val="28"/>
          <w:szCs w:val="28"/>
        </w:rPr>
        <w:t>Г.п</w:t>
      </w:r>
      <w:proofErr w:type="gramStart"/>
      <w:r w:rsidRPr="006A6834">
        <w:rPr>
          <w:rFonts w:ascii="Times New Roman" w:hAnsi="Times New Roman"/>
          <w:sz w:val="28"/>
          <w:szCs w:val="28"/>
        </w:rPr>
        <w:t>.В</w:t>
      </w:r>
      <w:proofErr w:type="gramEnd"/>
      <w:r w:rsidRPr="006A6834">
        <w:rPr>
          <w:rFonts w:ascii="Times New Roman" w:hAnsi="Times New Roman"/>
          <w:sz w:val="28"/>
          <w:szCs w:val="28"/>
        </w:rPr>
        <w:t>ознесенье с 1 января 2006 года является административным центром Вознесенского городского поселения.</w:t>
      </w:r>
    </w:p>
    <w:p w:rsidR="00923611" w:rsidRPr="006B420D" w:rsidRDefault="00923611" w:rsidP="000A52D3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30000"/>
          <w:sz w:val="24"/>
          <w:szCs w:val="24"/>
          <w:lang w:eastAsia="ru-RU"/>
        </w:rPr>
      </w:pPr>
    </w:p>
    <w:p w:rsidR="00923611" w:rsidRPr="00393CC0" w:rsidRDefault="00923611" w:rsidP="006224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Площадь г.п</w:t>
      </w:r>
      <w:proofErr w:type="gramStart"/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.В</w:t>
      </w:r>
      <w:proofErr w:type="gramEnd"/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ознесенье – 506,081  гектаров, общая протяженность автомобильных дорог  общего пользования местного значения в границах  поселка - 46,414 км.</w:t>
      </w:r>
    </w:p>
    <w:p w:rsidR="00923611" w:rsidRPr="00393CC0" w:rsidRDefault="00923611" w:rsidP="005062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393C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Основной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проблем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ой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развития  административного центра поселения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является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средний уровень благоустройства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.</w:t>
      </w:r>
    </w:p>
    <w:p w:rsidR="00923611" w:rsidRPr="00393CC0" w:rsidRDefault="00923611" w:rsidP="00393C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ab/>
        <w:t>Для  создания комфортных условий проживания жителей поселка требуется решить  первоочередные вопросы  благоустройства: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</w:p>
    <w:p w:rsidR="00923611" w:rsidRPr="00393CC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- произвести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ремонт   дорог общего пользования  местного значения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общей протяженностью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42,0 км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;</w:t>
      </w:r>
    </w:p>
    <w:p w:rsidR="00923611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произвести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обустройство пешеходных дорожек;</w:t>
      </w:r>
    </w:p>
    <w:p w:rsidR="00923611" w:rsidRPr="00393CC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</w:t>
      </w:r>
      <w:r w:rsidRPr="00A1777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произвести благоустройство  парка  у пересечения  ул</w:t>
      </w:r>
      <w:proofErr w:type="gramStart"/>
      <w:r>
        <w:rPr>
          <w:rFonts w:ascii="Times New Roman" w:hAnsi="Times New Roman"/>
          <w:color w:val="030000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color w:val="030000"/>
          <w:sz w:val="28"/>
          <w:szCs w:val="28"/>
          <w:lang w:eastAsia="ru-RU"/>
        </w:rPr>
        <w:t>омсомольской и Почтового пер.;</w:t>
      </w:r>
    </w:p>
    <w:p w:rsidR="00923611" w:rsidRPr="00393CC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благоустроить гражданские кладбища, воинские захоронения;</w:t>
      </w:r>
    </w:p>
    <w:p w:rsidR="00923611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-очистить территорию административного центра от  излишней  растительности  (старых, несущих угрозу деревьев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,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кустарника);</w:t>
      </w:r>
    </w:p>
    <w:p w:rsidR="00923611" w:rsidRPr="00393CC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 произвести ремонт уличного освещения;</w:t>
      </w:r>
    </w:p>
    <w:p w:rsidR="00923611" w:rsidRPr="00393CC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 благоустроить Свирскую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набережную, организовав зону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отдыха жителей и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место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проведения праздничных мероприятий;</w:t>
      </w:r>
    </w:p>
    <w:p w:rsidR="00923611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обустроить стадион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на улице Комсомольской: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произвести планировку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территории,  уста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новку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спортивного оборудования, освещение и пр.;</w:t>
      </w:r>
    </w:p>
    <w:p w:rsidR="00923611" w:rsidRPr="00393CC0" w:rsidRDefault="00923611" w:rsidP="00363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- благоустроить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пар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к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им</w:t>
      </w:r>
      <w:proofErr w:type="gramStart"/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.К</w:t>
      </w:r>
      <w:proofErr w:type="gramEnd"/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ирова;</w:t>
      </w:r>
    </w:p>
    <w:p w:rsidR="00923611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-  необходимо обновить существующие и  установить новые  детские игровые и спортивные площадки, скамейки для отдыха, урны для мусора  и другие малые архитектурные формы  по всей территории административного центра;</w:t>
      </w:r>
    </w:p>
    <w:p w:rsidR="00923611" w:rsidRDefault="00923611" w:rsidP="00363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провести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организ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ацию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и ремонт мест забора воды;</w:t>
      </w:r>
    </w:p>
    <w:p w:rsidR="00923611" w:rsidRPr="00393CC0" w:rsidRDefault="00923611" w:rsidP="00363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 обустроить пожарные водоемы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пожарные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подъезды;</w:t>
      </w:r>
    </w:p>
    <w:p w:rsidR="00923611" w:rsidRPr="00393CC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-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ликв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идировать несанкционированные свалки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;</w:t>
      </w:r>
    </w:p>
    <w:p w:rsidR="00923611" w:rsidRPr="00393CC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установить дополнительные  контейнерные площадки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для сбора бытовых отходов и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обновить существующие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;</w:t>
      </w:r>
    </w:p>
    <w:p w:rsidR="00923611" w:rsidRPr="00393CC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 приобрести коммунальную технику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для пров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едения работ по благоустройству.</w:t>
      </w:r>
    </w:p>
    <w:p w:rsidR="00923611" w:rsidRPr="006B420D" w:rsidRDefault="00923611" w:rsidP="000A52D3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30000"/>
          <w:sz w:val="24"/>
          <w:szCs w:val="24"/>
          <w:lang w:eastAsia="ru-RU"/>
        </w:rPr>
      </w:pPr>
    </w:p>
    <w:p w:rsidR="00923611" w:rsidRPr="006B420D" w:rsidRDefault="00923611" w:rsidP="000A52D3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30000"/>
          <w:sz w:val="24"/>
          <w:szCs w:val="24"/>
          <w:lang w:eastAsia="ru-RU"/>
        </w:rPr>
      </w:pPr>
    </w:p>
    <w:p w:rsidR="00923611" w:rsidRPr="00363F8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63F80"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>2. Приоритеты муниципальной политики в сфере реализации Программы</w:t>
      </w:r>
    </w:p>
    <w:p w:rsidR="00923611" w:rsidRPr="00363F8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63F80">
        <w:rPr>
          <w:rFonts w:ascii="Times New Roman" w:hAnsi="Times New Roman"/>
          <w:color w:val="030000"/>
          <w:sz w:val="28"/>
          <w:szCs w:val="28"/>
          <w:lang w:eastAsia="ru-RU"/>
        </w:rPr>
        <w:lastRenderedPageBreak/>
        <w:t>Основным приоритетным направлением муниципальной политики является обеспечение необходимого уровня благоустройства в соответствии с потребностями населения.</w:t>
      </w:r>
    </w:p>
    <w:p w:rsidR="00923611" w:rsidRPr="00CE0E71" w:rsidRDefault="00923611" w:rsidP="000A52D3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30000"/>
          <w:sz w:val="21"/>
          <w:szCs w:val="21"/>
          <w:lang w:eastAsia="ru-RU"/>
        </w:rPr>
      </w:pPr>
    </w:p>
    <w:p w:rsidR="00923611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</w:pPr>
      <w:r w:rsidRPr="00363F80"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>3. Основные цели и задачи, показатели (индикаторы), конечные результаты, сроки и этапы реализации Программы</w:t>
      </w:r>
    </w:p>
    <w:p w:rsidR="00923611" w:rsidRPr="00363F8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Pr="00363F8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63F80">
        <w:rPr>
          <w:rFonts w:ascii="Times New Roman" w:hAnsi="Times New Roman"/>
          <w:color w:val="030000"/>
          <w:sz w:val="28"/>
          <w:szCs w:val="28"/>
          <w:lang w:eastAsia="ru-RU"/>
        </w:rPr>
        <w:t>Основные цели Программы:</w:t>
      </w:r>
    </w:p>
    <w:p w:rsidR="00923611" w:rsidRPr="00363F80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Привлечение жителей административного центра</w:t>
      </w:r>
      <w:r w:rsidRPr="00363F8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к активным формам непосредственного участия в осуществлении местного самоуправления.</w:t>
      </w:r>
    </w:p>
    <w:p w:rsidR="00923611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Создание комфортных условий жизнеде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ятельности в административном центре поселения.</w:t>
      </w:r>
    </w:p>
    <w:p w:rsidR="00923611" w:rsidRPr="006A6834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Pr="006A6834" w:rsidRDefault="00923611" w:rsidP="006A68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В рамках достижения поставленных целей необходимо обеспечить решение следующей задачи:</w:t>
      </w:r>
    </w:p>
    <w:p w:rsidR="00923611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п</w:t>
      </w: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овышение уровня комплексного обус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тройства г.п</w:t>
      </w:r>
      <w:proofErr w:type="gramStart"/>
      <w:r>
        <w:rPr>
          <w:rFonts w:ascii="Times New Roman" w:hAnsi="Times New Roman"/>
          <w:color w:val="030000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/>
          <w:color w:val="030000"/>
          <w:sz w:val="28"/>
          <w:szCs w:val="28"/>
          <w:lang w:eastAsia="ru-RU"/>
        </w:rPr>
        <w:t>ознесенье.</w:t>
      </w:r>
    </w:p>
    <w:p w:rsidR="00923611" w:rsidRPr="006A6834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Основные целевые показатели (индикаторы), характеризующие достижение цели и решение задачи:</w:t>
      </w:r>
    </w:p>
    <w:p w:rsidR="00923611" w:rsidRPr="006A6834" w:rsidRDefault="00923611" w:rsidP="000A52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Pr="006A6834" w:rsidRDefault="00923611" w:rsidP="00A17778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Pr="006A6834" w:rsidRDefault="00923611" w:rsidP="006A68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Уровень благоустройства гражданских кладбищ и воинских захоронений.</w:t>
      </w:r>
    </w:p>
    <w:p w:rsidR="00923611" w:rsidRPr="006A6834" w:rsidRDefault="00923611" w:rsidP="006A68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Уровень очистки территории от старых деревьев и кустарника.</w:t>
      </w:r>
    </w:p>
    <w:p w:rsidR="00923611" w:rsidRPr="006A6834" w:rsidRDefault="00923611" w:rsidP="006A68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Уровень обеспечения уличным освещением поселка Вознесенье.</w:t>
      </w:r>
    </w:p>
    <w:p w:rsidR="00923611" w:rsidRPr="006A6834" w:rsidRDefault="00923611" w:rsidP="006A68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Уровень благоустройства мест отдыха жителей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.</w:t>
      </w:r>
    </w:p>
    <w:p w:rsidR="00923611" w:rsidRPr="006A6834" w:rsidRDefault="00923611" w:rsidP="006A68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  5</w:t>
      </w: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. Уровень обеспечения административного центра  контейнерными площадками.</w:t>
      </w:r>
    </w:p>
    <w:p w:rsidR="00923611" w:rsidRPr="006A6834" w:rsidRDefault="00923611" w:rsidP="006A68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   6.</w:t>
      </w: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Уровень обеспечения административного центра пожарными подъездами  и пожарными водоемами.</w:t>
      </w:r>
    </w:p>
    <w:p w:rsidR="00923611" w:rsidRPr="00CE0E71" w:rsidRDefault="00923611" w:rsidP="006A6834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30000"/>
          <w:sz w:val="21"/>
          <w:szCs w:val="21"/>
          <w:lang w:eastAsia="ru-RU"/>
        </w:rPr>
      </w:pPr>
    </w:p>
    <w:p w:rsidR="00923611" w:rsidRPr="001F7FD9" w:rsidRDefault="00923611" w:rsidP="001F7F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>Проведение мероприятий Программы позволит сформировать единую функциональную основу для достижения предусмотренных Программой показателей благоустройства административного центра МО «Вознесенское городское поселение».</w:t>
      </w:r>
    </w:p>
    <w:p w:rsidR="00923611" w:rsidRPr="001F7FD9" w:rsidRDefault="00923611" w:rsidP="001F7F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>Ожидаемый эффект от реализации Программы будет носить социальный характер и состоять в изменении ценностных ориентаций и поведения населения по отношению к территории своего административного центра, повышении уровня гражданской ответственности и социальной активности жителей.</w:t>
      </w:r>
    </w:p>
    <w:p w:rsidR="00923611" w:rsidRPr="001F7FD9" w:rsidRDefault="00923611" w:rsidP="001F7F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>В целом, реализация настоящей Программы позволит обеспечить необходимый уровень благоустройства, в соответствии с потребностями населения, в том числе:</w:t>
      </w:r>
    </w:p>
    <w:p w:rsidR="00923611" w:rsidRPr="001F7FD9" w:rsidRDefault="00923611" w:rsidP="006A68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>1. Уровень благоустройства гражданских кладб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ищ составит 50</w:t>
      </w: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% от потребности;</w:t>
      </w:r>
    </w:p>
    <w:p w:rsidR="00923611" w:rsidRPr="001F7FD9" w:rsidRDefault="00923611" w:rsidP="006A68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lastRenderedPageBreak/>
        <w:t>2</w:t>
      </w: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>. Уровень очистки территории сельских населенных пунктов от старых дер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евьев и кустарников составит 80</w:t>
      </w: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% от  потребности;</w:t>
      </w:r>
    </w:p>
    <w:p w:rsidR="00923611" w:rsidRPr="001F7FD9" w:rsidRDefault="00923611" w:rsidP="006A68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3. </w:t>
      </w:r>
      <w:r w:rsidRPr="006A6834">
        <w:rPr>
          <w:rFonts w:ascii="Times New Roman" w:hAnsi="Times New Roman"/>
          <w:color w:val="030000"/>
          <w:sz w:val="28"/>
          <w:szCs w:val="28"/>
          <w:lang w:eastAsia="ru-RU"/>
        </w:rPr>
        <w:t>Уровень благоустройства мест отдыха жителей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составит 60%.</w:t>
      </w:r>
    </w:p>
    <w:p w:rsidR="00923611" w:rsidRPr="001F7FD9" w:rsidRDefault="00923611" w:rsidP="006A68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4</w:t>
      </w: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. Уровень обеспечения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контейнерными площадками составит 80 % от общей потребности;</w:t>
      </w:r>
    </w:p>
    <w:p w:rsidR="00923611" w:rsidRPr="001F7FD9" w:rsidRDefault="00923611" w:rsidP="006A68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5.</w:t>
      </w: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Уровень обеспечения  пожарными водоемами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и пожарными подъездами</w:t>
      </w: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составит 80 % от общей потребности;</w:t>
      </w:r>
    </w:p>
    <w:p w:rsidR="00923611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</w:pPr>
    </w:p>
    <w:p w:rsidR="00923611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</w:pPr>
    </w:p>
    <w:p w:rsidR="00923611" w:rsidRDefault="00923611" w:rsidP="001F7F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</w:pPr>
      <w:r w:rsidRPr="001F7FD9"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>4. Характеристика основных мероприятий Программы</w:t>
      </w:r>
      <w:r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>.</w:t>
      </w:r>
    </w:p>
    <w:p w:rsidR="00923611" w:rsidRPr="001F7FD9" w:rsidRDefault="00923611" w:rsidP="001F7F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Pr="001F7FD9" w:rsidRDefault="00923611" w:rsidP="001F7F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Реализация мероприятий Программы будет способствовать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повышению уровня жизни </w:t>
      </w: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населения, активизации участия граждан в решении вопросов местного значения.</w:t>
      </w:r>
    </w:p>
    <w:p w:rsidR="00923611" w:rsidRPr="001F7FD9" w:rsidRDefault="00923611" w:rsidP="001F7F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>В рамках Программы реализуется следующее основное меропр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иятие «Благоустройство  административного центра</w:t>
      </w:r>
      <w:r w:rsidRPr="001F7FD9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городского посе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ления», которое предусматривает (при  предоставлении субсидий из бюджета Ленинградской области)</w:t>
      </w:r>
    </w:p>
    <w:p w:rsidR="00923611" w:rsidRDefault="00923611" w:rsidP="000A52D3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bCs/>
          <w:color w:val="030000"/>
          <w:sz w:val="21"/>
          <w:szCs w:val="21"/>
          <w:lang w:eastAsia="ru-RU"/>
        </w:rPr>
      </w:pPr>
    </w:p>
    <w:p w:rsidR="00923611" w:rsidRPr="00393CC0" w:rsidRDefault="00923611" w:rsidP="003915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  благоустройство парка в г.п</w:t>
      </w:r>
      <w:proofErr w:type="gramStart"/>
      <w:r>
        <w:rPr>
          <w:rFonts w:ascii="Times New Roman" w:hAnsi="Times New Roman"/>
          <w:color w:val="030000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/>
          <w:color w:val="030000"/>
          <w:sz w:val="28"/>
          <w:szCs w:val="28"/>
          <w:lang w:eastAsia="ru-RU"/>
        </w:rPr>
        <w:t>ознесенье у пересечения ул.Комсомольской и Почтового пер.;</w:t>
      </w:r>
    </w:p>
    <w:p w:rsidR="00923611" w:rsidRPr="00393CC0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обустройство пешеходных дорожек;</w:t>
      </w:r>
    </w:p>
    <w:p w:rsidR="00923611" w:rsidRPr="00393CC0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 благоустройство гражданских кладбищ, воинских захоронений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;</w:t>
      </w:r>
    </w:p>
    <w:p w:rsidR="00923611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-очистка территории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административного центра от  излишней  растительности  (старых, несущих угрозу деревьев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,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кустарника);</w:t>
      </w:r>
    </w:p>
    <w:p w:rsidR="00923611" w:rsidRPr="00393CC0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 благоустройство Свирской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набережной, организация зоны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отдыха жителей и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места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проведения праздничных мероприятий;</w:t>
      </w:r>
    </w:p>
    <w:p w:rsidR="00923611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обустройство стадиона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на улице Комсомольской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;</w:t>
      </w:r>
    </w:p>
    <w:p w:rsidR="00923611" w:rsidRPr="00393CC0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 благоустройство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пар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ка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им</w:t>
      </w:r>
      <w:proofErr w:type="gramStart"/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.К</w:t>
      </w:r>
      <w:proofErr w:type="gramEnd"/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ирова;</w:t>
      </w:r>
    </w:p>
    <w:p w:rsidR="00923611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  оснащение поселка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детскими игровыми и спортивными площадками, скамейками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для отдыха,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урнами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для мусора  и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другими малыми архитектурными формами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по всей территории административного центра;</w:t>
      </w:r>
    </w:p>
    <w:p w:rsidR="00923611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строительство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и ремонт мест забора воды;</w:t>
      </w:r>
    </w:p>
    <w:p w:rsidR="00923611" w:rsidRPr="00393CC0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- обустройство  пожарных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подъездов и ремонт пожарных водоемов;</w:t>
      </w:r>
    </w:p>
    <w:p w:rsidR="00923611" w:rsidRPr="00393CC0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- 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ликв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идация несанкционированных свалок</w:t>
      </w: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>;</w:t>
      </w:r>
    </w:p>
    <w:p w:rsidR="00923611" w:rsidRDefault="00923611" w:rsidP="001F7F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93CC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установка дополнительных  контейнерных площадок для сбора бытовых отходов.</w:t>
      </w:r>
    </w:p>
    <w:p w:rsidR="00923611" w:rsidRDefault="00923611" w:rsidP="001F7FD9">
      <w:pPr>
        <w:shd w:val="clear" w:color="auto" w:fill="FFFFFF"/>
        <w:spacing w:after="0" w:line="240" w:lineRule="auto"/>
        <w:jc w:val="both"/>
        <w:rPr>
          <w:rFonts w:ascii="Trebuchet MS" w:hAnsi="Trebuchet MS"/>
          <w:b/>
          <w:bCs/>
          <w:color w:val="030000"/>
          <w:sz w:val="21"/>
          <w:szCs w:val="21"/>
          <w:lang w:eastAsia="ru-RU"/>
        </w:rPr>
      </w:pPr>
    </w:p>
    <w:p w:rsidR="00923611" w:rsidRPr="00784290" w:rsidRDefault="00923611" w:rsidP="0078429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784290"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>5. Порядок взаимодействия ответственного исполнителя и участников Программы</w:t>
      </w:r>
    </w:p>
    <w:p w:rsidR="00923611" w:rsidRPr="00784290" w:rsidRDefault="00923611" w:rsidP="007842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Координацию работы участников</w:t>
      </w:r>
      <w:r w:rsidRPr="0078429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проводит администрация МО «Вознесенское городское поселение» (организация сходов, собраний, обсуждений, подготовка документов).</w:t>
      </w:r>
      <w:r w:rsidRPr="0078429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Участники Программы </w:t>
      </w:r>
      <w:r w:rsidRPr="00784290">
        <w:rPr>
          <w:rFonts w:ascii="Times New Roman" w:hAnsi="Times New Roman"/>
          <w:color w:val="030000"/>
          <w:sz w:val="28"/>
          <w:szCs w:val="28"/>
          <w:lang w:eastAsia="ru-RU"/>
        </w:rPr>
        <w:t>представляют ответственному исполнителю необходимую информацию для подготовки ответов на запросы комитета по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 местному самоуправлению,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lastRenderedPageBreak/>
        <w:t>межнациональным и межконфессиональным отношениям Ленинградской области. Администрация поселения  представляет</w:t>
      </w:r>
      <w:r w:rsidRPr="0078429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отчет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ы</w:t>
      </w:r>
      <w:r w:rsidRPr="0078429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о ходе реализации мероприятий Программы, а также информацию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, </w:t>
      </w:r>
      <w:r w:rsidRPr="00784290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необходимую для проведения оценки эффективности программы и подготовки годового (итогового) отчета.</w:t>
      </w:r>
    </w:p>
    <w:p w:rsidR="00923611" w:rsidRDefault="00923611" w:rsidP="000A52D3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bCs/>
          <w:color w:val="030000"/>
          <w:sz w:val="21"/>
          <w:szCs w:val="21"/>
          <w:lang w:eastAsia="ru-RU"/>
        </w:rPr>
      </w:pPr>
    </w:p>
    <w:p w:rsidR="00923611" w:rsidRPr="003650CC" w:rsidRDefault="00923611" w:rsidP="003650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650CC"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>6. Оценка эффективности Программы</w:t>
      </w:r>
    </w:p>
    <w:p w:rsidR="00923611" w:rsidRDefault="00923611" w:rsidP="003650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Pr="003650CC" w:rsidRDefault="00923611" w:rsidP="003650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3650CC">
        <w:rPr>
          <w:rFonts w:ascii="Times New Roman" w:hAnsi="Times New Roman"/>
          <w:color w:val="030000"/>
          <w:sz w:val="28"/>
          <w:szCs w:val="28"/>
          <w:lang w:eastAsia="ru-RU"/>
        </w:rPr>
        <w:t>Оценка эффективности Программы проводится в соответствии с постановлением администрации Вознесенского городского  поселения от 29.07.2014 г. № 183 «Об утверждении порядка разработки, реализации и оценки эффективности муниципальных программ МО «Вознесенское городское поселение».</w:t>
      </w:r>
    </w:p>
    <w:p w:rsidR="00923611" w:rsidRDefault="00923611" w:rsidP="00A318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A318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A318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A318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A318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A318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A318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A3183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923611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3611" w:rsidRDefault="00CC3123" w:rsidP="00F711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br w:type="page"/>
      </w:r>
    </w:p>
    <w:p w:rsidR="00923611" w:rsidRPr="00F7113D" w:rsidRDefault="00923611" w:rsidP="00F7113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113D"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923611" w:rsidRPr="00F7113D" w:rsidRDefault="00923611" w:rsidP="00F7113D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113D">
        <w:rPr>
          <w:rFonts w:ascii="Times New Roman" w:hAnsi="Times New Roman"/>
          <w:sz w:val="24"/>
          <w:szCs w:val="24"/>
        </w:rPr>
        <w:t>постановлением</w:t>
      </w:r>
      <w:r w:rsidRPr="00F7113D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</w:p>
    <w:p w:rsidR="00923611" w:rsidRPr="00F7113D" w:rsidRDefault="00923611" w:rsidP="00F7113D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113D">
        <w:rPr>
          <w:rFonts w:ascii="Times New Roman" w:hAnsi="Times New Roman"/>
          <w:sz w:val="24"/>
          <w:szCs w:val="24"/>
          <w:lang w:eastAsia="ru-RU"/>
        </w:rPr>
        <w:t>Вознесенского городского поселения</w:t>
      </w:r>
    </w:p>
    <w:p w:rsidR="00923611" w:rsidRPr="00F7113D" w:rsidRDefault="00923611" w:rsidP="00F7113D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31.08.2015 г.  № 294</w:t>
      </w:r>
    </w:p>
    <w:p w:rsidR="00923611" w:rsidRPr="00F7113D" w:rsidRDefault="00923611" w:rsidP="00F7113D">
      <w:pPr>
        <w:autoSpaceDE w:val="0"/>
        <w:autoSpaceDN w:val="0"/>
        <w:adjustRightInd w:val="0"/>
        <w:spacing w:after="0" w:line="240" w:lineRule="auto"/>
        <w:ind w:left="4956" w:firstLine="22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(приложение № 2</w:t>
      </w:r>
      <w:r w:rsidRPr="00F7113D">
        <w:rPr>
          <w:rFonts w:ascii="Times New Roman" w:hAnsi="Times New Roman"/>
          <w:sz w:val="28"/>
          <w:szCs w:val="28"/>
          <w:lang w:eastAsia="ru-RU"/>
        </w:rPr>
        <w:t>)</w:t>
      </w:r>
    </w:p>
    <w:p w:rsidR="00923611" w:rsidRPr="00F7113D" w:rsidRDefault="00923611" w:rsidP="00F7113D">
      <w:pPr>
        <w:jc w:val="center"/>
        <w:rPr>
          <w:rFonts w:ascii="Times New Roman" w:hAnsi="Times New Roman"/>
          <w:sz w:val="28"/>
          <w:szCs w:val="28"/>
        </w:rPr>
      </w:pPr>
      <w:r w:rsidRPr="00F7113D">
        <w:rPr>
          <w:rFonts w:ascii="Times New Roman" w:hAnsi="Times New Roman"/>
          <w:sz w:val="28"/>
          <w:szCs w:val="28"/>
        </w:rPr>
        <w:t>План</w:t>
      </w:r>
    </w:p>
    <w:p w:rsidR="00923611" w:rsidRDefault="00923611" w:rsidP="00F7113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113D">
        <w:rPr>
          <w:rFonts w:ascii="Times New Roman" w:hAnsi="Times New Roman"/>
          <w:sz w:val="28"/>
          <w:szCs w:val="28"/>
        </w:rPr>
        <w:t xml:space="preserve">мероприятий Вознесенского городского поселения Подпорожского   муниципального района 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7113D">
        <w:rPr>
          <w:rFonts w:ascii="Times New Roman" w:hAnsi="Times New Roman"/>
          <w:sz w:val="28"/>
          <w:szCs w:val="28"/>
          <w:lang w:eastAsia="ru-RU"/>
        </w:rPr>
        <w:t>реализации областного закона Ленинградской области 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923611" w:rsidRPr="00E7082F" w:rsidRDefault="00923611" w:rsidP="00F7113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7082F">
        <w:rPr>
          <w:rFonts w:ascii="Times New Roman" w:hAnsi="Times New Roman"/>
          <w:b/>
          <w:sz w:val="28"/>
          <w:szCs w:val="28"/>
          <w:u w:val="single"/>
          <w:lang w:eastAsia="ru-RU"/>
        </w:rPr>
        <w:t>на 2016 год</w:t>
      </w:r>
    </w:p>
    <w:p w:rsidR="00923611" w:rsidRPr="00F7113D" w:rsidRDefault="00923611" w:rsidP="00F7113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68"/>
        <w:gridCol w:w="2380"/>
        <w:gridCol w:w="1417"/>
        <w:gridCol w:w="1276"/>
        <w:gridCol w:w="1276"/>
        <w:gridCol w:w="1129"/>
      </w:tblGrid>
      <w:tr w:rsidR="00923611" w:rsidRPr="000C0E90" w:rsidTr="00F7113D">
        <w:tc>
          <w:tcPr>
            <w:tcW w:w="1868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3D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380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3D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3D">
              <w:rPr>
                <w:rFonts w:ascii="Times New Roman" w:hAnsi="Times New Roman"/>
                <w:sz w:val="20"/>
                <w:szCs w:val="20"/>
              </w:rPr>
              <w:t>Всего (тыс</w:t>
            </w:r>
            <w:proofErr w:type="gramStart"/>
            <w:r w:rsidRPr="00F7113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7113D">
              <w:rPr>
                <w:rFonts w:ascii="Times New Roman" w:hAnsi="Times New Roman"/>
                <w:sz w:val="20"/>
                <w:szCs w:val="20"/>
              </w:rPr>
              <w:t>ублей)</w:t>
            </w:r>
          </w:p>
        </w:tc>
        <w:tc>
          <w:tcPr>
            <w:tcW w:w="1276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  <w:r w:rsidRPr="00F711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 (тыс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  <w:r w:rsidRPr="00F711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:rsidR="00923611" w:rsidRPr="00F7113D" w:rsidRDefault="00923611" w:rsidP="00F71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113D">
              <w:rPr>
                <w:rFonts w:ascii="Times New Roman" w:hAnsi="Times New Roman"/>
                <w:sz w:val="18"/>
                <w:szCs w:val="18"/>
                <w:lang w:eastAsia="ru-RU"/>
              </w:rPr>
              <w:t>Вклад</w:t>
            </w:r>
          </w:p>
          <w:p w:rsidR="00923611" w:rsidRPr="00F7113D" w:rsidRDefault="00923611" w:rsidP="00F711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113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граждан, </w:t>
            </w:r>
            <w:proofErr w:type="spellStart"/>
            <w:proofErr w:type="gramStart"/>
            <w:r w:rsidRPr="00F7113D">
              <w:rPr>
                <w:rFonts w:ascii="Times New Roman" w:hAnsi="Times New Roman"/>
                <w:sz w:val="18"/>
                <w:szCs w:val="18"/>
                <w:lang w:eastAsia="ru-RU"/>
              </w:rPr>
              <w:t>индиви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F7113D">
              <w:rPr>
                <w:rFonts w:ascii="Times New Roman" w:hAnsi="Times New Roman"/>
                <w:sz w:val="18"/>
                <w:szCs w:val="18"/>
                <w:lang w:eastAsia="ru-RU"/>
              </w:rPr>
              <w:t>дуальных</w:t>
            </w:r>
            <w:proofErr w:type="spellEnd"/>
            <w:proofErr w:type="gramEnd"/>
            <w:r w:rsidRPr="00F7113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13D">
              <w:rPr>
                <w:rFonts w:ascii="Times New Roman" w:hAnsi="Times New Roman"/>
                <w:sz w:val="18"/>
                <w:szCs w:val="18"/>
                <w:lang w:eastAsia="ru-RU"/>
              </w:rPr>
              <w:t>предпри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F7113D">
              <w:rPr>
                <w:rFonts w:ascii="Times New Roman" w:hAnsi="Times New Roman"/>
                <w:sz w:val="18"/>
                <w:szCs w:val="18"/>
                <w:lang w:eastAsia="ru-RU"/>
              </w:rPr>
              <w:t>нимателей</w:t>
            </w:r>
            <w:proofErr w:type="spellEnd"/>
          </w:p>
          <w:p w:rsidR="00923611" w:rsidRDefault="00923611" w:rsidP="00F7113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113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 </w:t>
            </w:r>
            <w:proofErr w:type="spellStart"/>
            <w:proofErr w:type="gramStart"/>
            <w:r w:rsidRPr="00F7113D">
              <w:rPr>
                <w:rFonts w:ascii="Times New Roman" w:hAnsi="Times New Roman"/>
                <w:sz w:val="18"/>
                <w:szCs w:val="18"/>
                <w:lang w:eastAsia="ru-RU"/>
              </w:rPr>
              <w:t>юридичес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F7113D">
              <w:rPr>
                <w:rFonts w:ascii="Times New Roman" w:hAnsi="Times New Roman"/>
                <w:sz w:val="18"/>
                <w:szCs w:val="18"/>
                <w:lang w:eastAsia="ru-RU"/>
              </w:rPr>
              <w:t>ких</w:t>
            </w:r>
            <w:proofErr w:type="spellEnd"/>
            <w:proofErr w:type="gramEnd"/>
            <w:r w:rsidRPr="00F7113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лиц</w:t>
            </w:r>
          </w:p>
          <w:p w:rsidR="00923611" w:rsidRPr="00323DB2" w:rsidRDefault="00923611" w:rsidP="00F7113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уб.)</w:t>
            </w:r>
          </w:p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3611" w:rsidRPr="000C0E90" w:rsidTr="00F7113D">
        <w:trPr>
          <w:trHeight w:val="268"/>
        </w:trPr>
        <w:tc>
          <w:tcPr>
            <w:tcW w:w="1868" w:type="dxa"/>
            <w:vMerge w:val="restart"/>
          </w:tcPr>
          <w:p w:rsidR="00923611" w:rsidRPr="00F7113D" w:rsidRDefault="00923611" w:rsidP="00323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3D">
              <w:rPr>
                <w:rFonts w:ascii="Times New Roman" w:hAnsi="Times New Roman"/>
                <w:sz w:val="24"/>
                <w:szCs w:val="24"/>
              </w:rPr>
              <w:t xml:space="preserve">Вознесенское городское поселение </w:t>
            </w:r>
            <w:proofErr w:type="spellStart"/>
            <w:r w:rsidRPr="00F7113D">
              <w:rPr>
                <w:rFonts w:ascii="Times New Roman" w:hAnsi="Times New Roman"/>
                <w:sz w:val="24"/>
                <w:szCs w:val="24"/>
              </w:rPr>
              <w:t>Подпорожс</w:t>
            </w:r>
            <w:proofErr w:type="spellEnd"/>
            <w:r w:rsidRPr="00F711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3D">
              <w:rPr>
                <w:rFonts w:ascii="Times New Roman" w:hAnsi="Times New Roman"/>
                <w:sz w:val="24"/>
                <w:szCs w:val="24"/>
              </w:rPr>
              <w:t>кого</w:t>
            </w:r>
          </w:p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13D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F711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13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3D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3D">
              <w:rPr>
                <w:rFonts w:ascii="Times New Roman" w:hAnsi="Times New Roman"/>
                <w:sz w:val="24"/>
                <w:szCs w:val="24"/>
              </w:rPr>
              <w:t>Ленин-</w:t>
            </w:r>
          </w:p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3D">
              <w:rPr>
                <w:rFonts w:ascii="Times New Roman" w:hAnsi="Times New Roman"/>
                <w:sz w:val="24"/>
                <w:szCs w:val="24"/>
              </w:rPr>
              <w:t>градской</w:t>
            </w:r>
          </w:p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13D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380" w:type="dxa"/>
          </w:tcPr>
          <w:p w:rsidR="00923611" w:rsidRPr="00F7113D" w:rsidRDefault="00923611" w:rsidP="00F711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3D">
              <w:rPr>
                <w:rFonts w:ascii="Times New Roman" w:hAnsi="Times New Roman"/>
                <w:b/>
                <w:sz w:val="24"/>
                <w:szCs w:val="24"/>
              </w:rPr>
              <w:t>Благоустройство парка</w:t>
            </w:r>
          </w:p>
          <w:p w:rsidR="00923611" w:rsidRDefault="00923611" w:rsidP="00F711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F7113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F7113D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F7113D">
              <w:rPr>
                <w:rFonts w:ascii="Times New Roman" w:hAnsi="Times New Roman"/>
                <w:b/>
                <w:sz w:val="24"/>
                <w:szCs w:val="24"/>
              </w:rPr>
              <w:t>ознесенье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3611" w:rsidRPr="00F7113D" w:rsidRDefault="00923611" w:rsidP="00F711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пересечения 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омсомольской и Почтового пер.</w:t>
            </w:r>
          </w:p>
          <w:p w:rsidR="00923611" w:rsidRPr="00F7113D" w:rsidRDefault="00923611" w:rsidP="00F711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1 499,999</w:t>
            </w:r>
          </w:p>
        </w:tc>
        <w:tc>
          <w:tcPr>
            <w:tcW w:w="1276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13D">
              <w:rPr>
                <w:rFonts w:ascii="Times New Roman" w:hAnsi="Times New Roman"/>
                <w:sz w:val="24"/>
                <w:szCs w:val="24"/>
                <w:lang w:eastAsia="ru-RU"/>
              </w:rPr>
              <w:t>1 141,552</w:t>
            </w:r>
          </w:p>
        </w:tc>
        <w:tc>
          <w:tcPr>
            <w:tcW w:w="1276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57,078</w:t>
            </w:r>
          </w:p>
        </w:tc>
        <w:tc>
          <w:tcPr>
            <w:tcW w:w="1128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301,369</w:t>
            </w:r>
          </w:p>
        </w:tc>
      </w:tr>
      <w:tr w:rsidR="00923611" w:rsidRPr="000C0E90" w:rsidTr="00323DB2">
        <w:trPr>
          <w:trHeight w:val="645"/>
        </w:trPr>
        <w:tc>
          <w:tcPr>
            <w:tcW w:w="1868" w:type="dxa"/>
            <w:vMerge/>
            <w:vAlign w:val="center"/>
          </w:tcPr>
          <w:p w:rsidR="00923611" w:rsidRPr="00F7113D" w:rsidRDefault="00923611" w:rsidP="00F711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923611" w:rsidRPr="00F7113D" w:rsidRDefault="00923611" w:rsidP="00F7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B2">
              <w:rPr>
                <w:rFonts w:ascii="Times New Roman" w:hAnsi="Times New Roman"/>
                <w:sz w:val="24"/>
                <w:szCs w:val="24"/>
              </w:rPr>
              <w:t>Приобретение материала</w:t>
            </w:r>
          </w:p>
        </w:tc>
        <w:tc>
          <w:tcPr>
            <w:tcW w:w="1417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611" w:rsidRPr="000C0E90" w:rsidTr="00323DB2">
        <w:trPr>
          <w:trHeight w:val="990"/>
        </w:trPr>
        <w:tc>
          <w:tcPr>
            <w:tcW w:w="1868" w:type="dxa"/>
            <w:vMerge/>
            <w:vAlign w:val="center"/>
          </w:tcPr>
          <w:p w:rsidR="00923611" w:rsidRPr="00F7113D" w:rsidRDefault="00923611" w:rsidP="00F7113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923611" w:rsidRPr="00323DB2" w:rsidRDefault="00923611" w:rsidP="0032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3611" w:rsidRPr="00F7113D" w:rsidRDefault="00923611" w:rsidP="00F7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DB2">
              <w:rPr>
                <w:rFonts w:ascii="Times New Roman" w:hAnsi="Times New Roman"/>
                <w:sz w:val="24"/>
                <w:szCs w:val="24"/>
              </w:rPr>
              <w:t>Производство работ</w:t>
            </w:r>
          </w:p>
        </w:tc>
        <w:tc>
          <w:tcPr>
            <w:tcW w:w="1417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3611" w:rsidRPr="000C0E90" w:rsidTr="00323DB2">
        <w:tc>
          <w:tcPr>
            <w:tcW w:w="1868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923611" w:rsidRPr="00F7113D" w:rsidRDefault="00923611" w:rsidP="00F7113D">
            <w:pPr>
              <w:spacing w:after="0" w:line="240" w:lineRule="auto"/>
              <w:rPr>
                <w:sz w:val="24"/>
                <w:szCs w:val="24"/>
              </w:rPr>
            </w:pPr>
            <w:r w:rsidRPr="00F7113D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1 499,999</w:t>
            </w:r>
          </w:p>
        </w:tc>
        <w:tc>
          <w:tcPr>
            <w:tcW w:w="1276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23DB2">
              <w:rPr>
                <w:sz w:val="24"/>
                <w:szCs w:val="24"/>
              </w:rPr>
              <w:t>1141,552</w:t>
            </w:r>
          </w:p>
        </w:tc>
        <w:tc>
          <w:tcPr>
            <w:tcW w:w="1275" w:type="dxa"/>
          </w:tcPr>
          <w:p w:rsidR="00923611" w:rsidRPr="00F7113D" w:rsidRDefault="00923611" w:rsidP="00F71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57,078</w:t>
            </w:r>
          </w:p>
        </w:tc>
        <w:tc>
          <w:tcPr>
            <w:tcW w:w="1129" w:type="dxa"/>
          </w:tcPr>
          <w:p w:rsidR="00923611" w:rsidRPr="00323DB2" w:rsidRDefault="00923611" w:rsidP="00F711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301,369</w:t>
            </w:r>
            <w:bookmarkStart w:id="0" w:name="_GoBack"/>
            <w:bookmarkEnd w:id="0"/>
          </w:p>
        </w:tc>
      </w:tr>
    </w:tbl>
    <w:p w:rsidR="00923611" w:rsidRPr="00F7113D" w:rsidRDefault="00923611" w:rsidP="00614CB4">
      <w:pPr>
        <w:jc w:val="center"/>
      </w:pPr>
    </w:p>
    <w:sectPr w:rsidR="00923611" w:rsidRPr="00F7113D" w:rsidSect="0096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1EF"/>
    <w:multiLevelType w:val="hybridMultilevel"/>
    <w:tmpl w:val="FE42AE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E71"/>
    <w:rsid w:val="000A52D3"/>
    <w:rsid w:val="000B0E7A"/>
    <w:rsid w:val="000C0E90"/>
    <w:rsid w:val="001711C9"/>
    <w:rsid w:val="001F7FD9"/>
    <w:rsid w:val="00304A74"/>
    <w:rsid w:val="00323DB2"/>
    <w:rsid w:val="00357DF5"/>
    <w:rsid w:val="00363F80"/>
    <w:rsid w:val="003650CC"/>
    <w:rsid w:val="0038020E"/>
    <w:rsid w:val="0039150B"/>
    <w:rsid w:val="00393CC0"/>
    <w:rsid w:val="0040429F"/>
    <w:rsid w:val="004061F7"/>
    <w:rsid w:val="004324E6"/>
    <w:rsid w:val="00450AA4"/>
    <w:rsid w:val="00506288"/>
    <w:rsid w:val="00521658"/>
    <w:rsid w:val="00546C52"/>
    <w:rsid w:val="00614CB4"/>
    <w:rsid w:val="006224D0"/>
    <w:rsid w:val="006A6834"/>
    <w:rsid w:val="006B420D"/>
    <w:rsid w:val="00715D1F"/>
    <w:rsid w:val="00784290"/>
    <w:rsid w:val="00903442"/>
    <w:rsid w:val="00923611"/>
    <w:rsid w:val="00965A32"/>
    <w:rsid w:val="00A17778"/>
    <w:rsid w:val="00A3183A"/>
    <w:rsid w:val="00B00E05"/>
    <w:rsid w:val="00B637A4"/>
    <w:rsid w:val="00BD25B3"/>
    <w:rsid w:val="00C23BC5"/>
    <w:rsid w:val="00C439E2"/>
    <w:rsid w:val="00C76CAB"/>
    <w:rsid w:val="00C806EA"/>
    <w:rsid w:val="00CC3123"/>
    <w:rsid w:val="00CE0E71"/>
    <w:rsid w:val="00D27A0B"/>
    <w:rsid w:val="00E7082F"/>
    <w:rsid w:val="00F7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A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E0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E71"/>
    <w:rPr>
      <w:rFonts w:cs="Times New Roman"/>
    </w:rPr>
  </w:style>
  <w:style w:type="paragraph" w:customStyle="1" w:styleId="ListParagraph">
    <w:name w:val="List Paragraph"/>
    <w:basedOn w:val="a"/>
    <w:rsid w:val="006A6834"/>
    <w:pPr>
      <w:ind w:left="720"/>
      <w:contextualSpacing/>
    </w:pPr>
  </w:style>
  <w:style w:type="paragraph" w:styleId="a4">
    <w:name w:val="Balloon Text"/>
    <w:basedOn w:val="a"/>
    <w:link w:val="a5"/>
    <w:semiHidden/>
    <w:rsid w:val="00E7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locked/>
    <w:rsid w:val="00E70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GCM</cp:lastModifiedBy>
  <cp:revision>2</cp:revision>
  <cp:lastPrinted>2016-02-01T08:39:00Z</cp:lastPrinted>
  <dcterms:created xsi:type="dcterms:W3CDTF">2016-05-30T04:21:00Z</dcterms:created>
  <dcterms:modified xsi:type="dcterms:W3CDTF">2016-05-30T04:21:00Z</dcterms:modified>
</cp:coreProperties>
</file>